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43" w:type="dxa"/>
        <w:tblInd w:w="-431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left w:w="85" w:type="dxa"/>
          <w:right w:w="10" w:type="dxa"/>
        </w:tblCellMar>
        <w:tblLook w:val="0000" w:firstRow="0" w:lastRow="0" w:firstColumn="0" w:lastColumn="0" w:noHBand="0" w:noVBand="0"/>
      </w:tblPr>
      <w:tblGrid>
        <w:gridCol w:w="6226"/>
        <w:gridCol w:w="2278"/>
        <w:gridCol w:w="4538"/>
        <w:gridCol w:w="1276"/>
        <w:gridCol w:w="425"/>
      </w:tblGrid>
      <w:tr w:rsidR="000954B7" w:rsidRPr="008B1A62" w14:paraId="70513810" w14:textId="77777777" w:rsidTr="0035083B">
        <w:trPr>
          <w:trHeight w:val="3959"/>
        </w:trPr>
        <w:tc>
          <w:tcPr>
            <w:tcW w:w="1474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9A92" w14:textId="13AC0904" w:rsidR="000954B7" w:rsidRPr="008B1A62" w:rsidRDefault="000954B7" w:rsidP="0029691D">
            <w:pPr>
              <w:shd w:val="clear" w:color="auto" w:fill="2F5496" w:themeFill="accent1" w:themeFillShade="BF"/>
              <w:ind w:right="-102" w:hanging="106"/>
              <w:rPr>
                <w:rFonts w:ascii="Barlow" w:hAnsi="Barlow"/>
                <w:sz w:val="28"/>
                <w:szCs w:val="28"/>
              </w:rPr>
            </w:pPr>
            <w:r w:rsidRPr="008B1A62">
              <w:rPr>
                <w:rFonts w:ascii="Barlow" w:eastAsia="Verdana" w:hAnsi="Barlow" w:cs="Verdana"/>
                <w:b/>
                <w:bCs/>
                <w:color w:val="FFFFFF" w:themeColor="background1"/>
                <w:sz w:val="28"/>
                <w:szCs w:val="28"/>
              </w:rPr>
              <w:t xml:space="preserve">SUE/SUAP </w:t>
            </w:r>
            <w:r w:rsidR="00B307D6" w:rsidRPr="008B1A62">
              <w:rPr>
                <w:rFonts w:ascii="Barlow" w:eastAsia="Verdana" w:hAnsi="Barlow" w:cs="Verdana"/>
                <w:b/>
                <w:bCs/>
                <w:color w:val="FFFFFF" w:themeColor="background1"/>
                <w:sz w:val="28"/>
                <w:szCs w:val="28"/>
              </w:rPr>
              <w:t xml:space="preserve">e </w:t>
            </w:r>
            <w:r w:rsidRPr="008B1A62">
              <w:rPr>
                <w:rFonts w:ascii="Barlow" w:eastAsia="Verdana" w:hAnsi="Barlow" w:cs="Verdana"/>
                <w:b/>
                <w:bCs/>
                <w:color w:val="FFFFFF" w:themeColor="background1"/>
                <w:sz w:val="28"/>
                <w:szCs w:val="28"/>
              </w:rPr>
              <w:t xml:space="preserve">SISMICA </w:t>
            </w:r>
          </w:p>
          <w:p w14:paraId="7067BD0F" w14:textId="77777777" w:rsidR="000954B7" w:rsidRPr="008B1A62" w:rsidRDefault="000954B7" w:rsidP="00604E1A">
            <w:pPr>
              <w:rPr>
                <w:rFonts w:ascii="Barlow" w:hAnsi="Barlow"/>
                <w:b/>
                <w:bCs/>
              </w:rPr>
            </w:pPr>
            <w:r w:rsidRPr="008B1A62">
              <w:rPr>
                <w:rFonts w:ascii="Barlow" w:hAnsi="Barlow"/>
                <w:b/>
                <w:bCs/>
              </w:rPr>
              <w:t>Descrizione della funzione Sue/Suap + Sismica</w:t>
            </w:r>
          </w:p>
          <w:p w14:paraId="56CCE97A" w14:textId="298D6CCF" w:rsidR="000954B7" w:rsidRPr="008B1A62" w:rsidRDefault="000954B7" w:rsidP="00604E1A">
            <w:pPr>
              <w:spacing w:before="120" w:after="120" w:line="360" w:lineRule="auto"/>
              <w:jc w:val="both"/>
              <w:rPr>
                <w:rFonts w:ascii="Barlow" w:hAnsi="Barlow"/>
                <w:b/>
              </w:rPr>
            </w:pPr>
            <w:r w:rsidRPr="008B1A62">
              <w:rPr>
                <w:rFonts w:ascii="Barlow" w:hAnsi="Barlow"/>
                <w:b/>
              </w:rPr>
              <w:t>La gestione associata deve comprendere sia la gestione</w:t>
            </w:r>
            <w:r w:rsidRPr="008B1A62">
              <w:rPr>
                <w:rFonts w:ascii="Barlow" w:hAnsi="Barlow"/>
                <w:b/>
                <w:u w:val="single"/>
              </w:rPr>
              <w:t xml:space="preserve"> </w:t>
            </w:r>
            <w:r w:rsidRPr="008B1A62">
              <w:rPr>
                <w:rFonts w:ascii="Barlow" w:hAnsi="Barlow"/>
                <w:b/>
              </w:rPr>
              <w:t xml:space="preserve">dei procedimenti abilitativi inerenti </w:t>
            </w:r>
            <w:r w:rsidR="00604E1A" w:rsidRPr="008B1A62">
              <w:rPr>
                <w:rFonts w:ascii="Barlow" w:hAnsi="Barlow"/>
                <w:b/>
              </w:rPr>
              <w:t>a</w:t>
            </w:r>
            <w:r w:rsidRPr="008B1A62">
              <w:rPr>
                <w:rFonts w:ascii="Barlow" w:hAnsi="Barlow"/>
                <w:b/>
              </w:rPr>
              <w:t xml:space="preserve">gli interventi che riguardano l'edilizia residenziale e le relative funzioni di controllo, (istruttorie e controllo delle pratiche edilizie, accertamenti di conformità edilizia, idoneità alloggiativa, </w:t>
            </w:r>
            <w:r w:rsidR="00EB2B03" w:rsidRPr="008B1A62">
              <w:rPr>
                <w:rFonts w:ascii="Barlow" w:hAnsi="Barlow"/>
                <w:b/>
              </w:rPr>
              <w:t>gestione della</w:t>
            </w:r>
            <w:r w:rsidRPr="008B1A62">
              <w:rPr>
                <w:rFonts w:ascii="Barlow" w:hAnsi="Barlow"/>
                <w:b/>
              </w:rPr>
              <w:t xml:space="preserve"> commissione qualità architettonica e paesaggio, autorizzazione insegne), sia la gestione dei procedimenti abilitativi inerenti la realizzazione e la modifica degli impianti produttivi di beni e servizi e le funzioni istruttorie, autorizzatorie e di controllo relativo al commercio, pubblici esercizi e altre attività.</w:t>
            </w:r>
          </w:p>
          <w:p w14:paraId="0E25BF12" w14:textId="3FFE9CD9" w:rsidR="000954B7" w:rsidRPr="008B1A62" w:rsidRDefault="000954B7" w:rsidP="00604E1A">
            <w:pPr>
              <w:spacing w:before="120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Il conferimento all’Unione da parte dei Comuni della funzione deve riguardare le seguenti attività:</w:t>
            </w:r>
          </w:p>
          <w:p w14:paraId="591FCF88" w14:textId="322B6AD8" w:rsidR="000954B7" w:rsidRPr="008B1A62" w:rsidRDefault="000954B7" w:rsidP="000954B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rFonts w:ascii="Barlow" w:hAnsi="Barlow"/>
                <w:sz w:val="22"/>
              </w:rPr>
            </w:pPr>
            <w:r w:rsidRPr="008B1A62">
              <w:rPr>
                <w:rFonts w:ascii="Barlow" w:hAnsi="Barlow"/>
                <w:sz w:val="22"/>
              </w:rPr>
              <w:t>Attività istruttorie e di controllo delle pratiche edilizie, accertamenti di conformità edilizia, idoneità alloggiativa, certificati di destinazione urbanistica, procedimenti abilitativi su realizzazione e modifica impianti produttivi di beni e servizi e attività autorizzatorie e controllo relative al commercio</w:t>
            </w:r>
          </w:p>
          <w:p w14:paraId="346984E0" w14:textId="77777777" w:rsidR="000954B7" w:rsidRPr="008B1A62" w:rsidRDefault="000954B7" w:rsidP="000954B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rFonts w:ascii="Barlow" w:hAnsi="Barlow"/>
                <w:sz w:val="22"/>
              </w:rPr>
            </w:pPr>
            <w:r w:rsidRPr="008B1A62">
              <w:rPr>
                <w:rFonts w:ascii="Barlow" w:hAnsi="Barlow"/>
                <w:sz w:val="22"/>
              </w:rPr>
              <w:t>Attività della CQAP unica (Commissione qualità architettonica e paesaggio)</w:t>
            </w:r>
          </w:p>
          <w:p w14:paraId="4F1B5180" w14:textId="25E016AA" w:rsidR="000954B7" w:rsidRPr="008B1A62" w:rsidRDefault="009168B6" w:rsidP="000954B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rFonts w:ascii="Barlow" w:hAnsi="Barlow"/>
                <w:sz w:val="22"/>
              </w:rPr>
            </w:pPr>
            <w:r w:rsidRPr="008B1A62">
              <w:rPr>
                <w:rFonts w:ascii="Barlow" w:hAnsi="Barlow"/>
                <w:sz w:val="22"/>
              </w:rPr>
              <w:t xml:space="preserve">Attività sulla </w:t>
            </w:r>
            <w:r w:rsidR="000954B7" w:rsidRPr="008B1A62">
              <w:rPr>
                <w:rFonts w:ascii="Barlow" w:hAnsi="Barlow"/>
                <w:sz w:val="22"/>
              </w:rPr>
              <w:t>Sismica</w:t>
            </w:r>
          </w:p>
          <w:p w14:paraId="126F8193" w14:textId="5EAF60FC" w:rsidR="00F430D7" w:rsidRPr="008B1A62" w:rsidRDefault="009168B6" w:rsidP="000954B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rFonts w:ascii="Barlow" w:hAnsi="Barlow"/>
                <w:sz w:val="22"/>
              </w:rPr>
            </w:pPr>
            <w:r w:rsidRPr="008B1A62">
              <w:rPr>
                <w:rFonts w:ascii="Barlow" w:hAnsi="Barlow"/>
                <w:sz w:val="22"/>
              </w:rPr>
              <w:t>Attività sulla Paesaggistica</w:t>
            </w:r>
          </w:p>
          <w:p w14:paraId="44E045F2" w14:textId="3C0D00F2" w:rsidR="008271F9" w:rsidRPr="008B1A62" w:rsidRDefault="008271F9" w:rsidP="000954B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360" w:lineRule="auto"/>
              <w:ind w:left="714" w:hanging="357"/>
              <w:textAlignment w:val="baseline"/>
              <w:rPr>
                <w:rFonts w:ascii="Barlow" w:hAnsi="Barlow"/>
                <w:sz w:val="22"/>
              </w:rPr>
            </w:pPr>
            <w:r w:rsidRPr="008B1A62">
              <w:rPr>
                <w:rFonts w:ascii="Barlow" w:hAnsi="Barlow"/>
                <w:sz w:val="22"/>
              </w:rPr>
              <w:t>Controllo del territorio e abusi edilizi</w:t>
            </w:r>
          </w:p>
          <w:p w14:paraId="66128A51" w14:textId="367F2B0D" w:rsidR="000954B7" w:rsidRPr="008B1A62" w:rsidRDefault="000954B7" w:rsidP="00604E1A">
            <w:pPr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 xml:space="preserve">v. schema tipo convenzione link: </w:t>
            </w:r>
            <w:hyperlink r:id="rId10" w:history="1">
              <w:r w:rsidR="00DC4625" w:rsidRPr="00281B53">
                <w:rPr>
                  <w:rStyle w:val="Collegamentoipertestuale"/>
                </w:rPr>
                <w:t>https://autonomie.regione.emilia-romagna.it/unioni-di-comuni/programma-di-riordino-territoriale/prt-2024-2026</w:t>
              </w:r>
            </w:hyperlink>
            <w:r w:rsidR="00DC4625">
              <w:t xml:space="preserve"> </w:t>
            </w:r>
          </w:p>
        </w:tc>
      </w:tr>
      <w:tr w:rsidR="008B1A62" w:rsidRPr="008B1A62" w14:paraId="293BF096" w14:textId="77777777" w:rsidTr="0035083B">
        <w:trPr>
          <w:trHeight w:val="409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BA91" w14:textId="77777777" w:rsidR="008B1A62" w:rsidRPr="008B1A62" w:rsidRDefault="008B1A62" w:rsidP="00604E1A">
            <w:pPr>
              <w:spacing w:after="0" w:line="245" w:lineRule="auto"/>
              <w:rPr>
                <w:rFonts w:ascii="Barlow" w:hAnsi="Barlow"/>
                <w:b/>
                <w:bCs/>
                <w:color w:val="2F5496" w:themeColor="accent1" w:themeShade="BF"/>
              </w:rPr>
            </w:pPr>
            <w:r w:rsidRPr="008B1A62">
              <w:rPr>
                <w:rFonts w:ascii="Barlow" w:hAnsi="Barlow"/>
                <w:b/>
                <w:bCs/>
                <w:color w:val="2F5496" w:themeColor="accent1" w:themeShade="BF"/>
              </w:rPr>
              <w:t>Azioni obbligatorie per accedere all’incentivo (livello base)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3727" w14:textId="77777777" w:rsidR="008B1A62" w:rsidRPr="008B1A62" w:rsidRDefault="008B1A62" w:rsidP="00604E1A">
            <w:pPr>
              <w:spacing w:after="0" w:line="245" w:lineRule="auto"/>
              <w:rPr>
                <w:rFonts w:ascii="Barlow" w:hAnsi="Barlow"/>
                <w:b/>
                <w:bCs/>
                <w:color w:val="2F5496" w:themeColor="accent1" w:themeShade="BF"/>
              </w:rPr>
            </w:pPr>
            <w:r w:rsidRPr="008B1A62">
              <w:rPr>
                <w:rFonts w:ascii="Barlow" w:hAnsi="Barlow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8AFE" w14:textId="77777777" w:rsidR="008B1A62" w:rsidRPr="008B1A62" w:rsidRDefault="008B1A62" w:rsidP="00604E1A">
            <w:pPr>
              <w:spacing w:after="120" w:line="245" w:lineRule="auto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8B1A62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Indicazione estremi o link dell’atto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1314" w14:textId="0C290A69" w:rsidR="008B1A62" w:rsidRPr="008B1A62" w:rsidRDefault="008B1A62" w:rsidP="00604E1A">
            <w:pPr>
              <w:jc w:val="center"/>
              <w:rPr>
                <w:rFonts w:ascii="Barlow" w:hAnsi="Barlow"/>
                <w:color w:val="2F5496" w:themeColor="accent1" w:themeShade="BF"/>
              </w:rPr>
            </w:pPr>
            <w:r w:rsidRPr="008B1A62">
              <w:rPr>
                <w:rFonts w:ascii="Barlow" w:hAnsi="Barlow"/>
                <w:color w:val="2F5496" w:themeColor="accent1" w:themeShade="BF"/>
              </w:rPr>
              <w:t>Contributo in</w:t>
            </w:r>
            <w:r>
              <w:rPr>
                <w:rFonts w:ascii="Barlow" w:hAnsi="Barlow"/>
                <w:color w:val="2F5496" w:themeColor="accent1" w:themeShade="BF"/>
              </w:rPr>
              <w:t xml:space="preserve"> </w:t>
            </w:r>
            <w:r w:rsidRPr="008B1A62">
              <w:rPr>
                <w:rFonts w:ascii="Barlow" w:hAnsi="Barlow"/>
                <w:color w:val="2F5496" w:themeColor="accent1" w:themeShade="BF"/>
              </w:rPr>
              <w:t>%</w:t>
            </w:r>
            <w:r>
              <w:rPr>
                <w:rFonts w:ascii="Barlow" w:hAnsi="Barlow"/>
                <w:color w:val="2F5496" w:themeColor="accent1" w:themeShade="BF"/>
              </w:rPr>
              <w:t xml:space="preserve"> p</w:t>
            </w:r>
            <w:r w:rsidRPr="008B1A62">
              <w:rPr>
                <w:rFonts w:ascii="Barlow" w:hAnsi="Barlow"/>
                <w:color w:val="2F5496" w:themeColor="accent1" w:themeShade="BF"/>
              </w:rPr>
              <w:t>unteggio</w:t>
            </w:r>
          </w:p>
        </w:tc>
      </w:tr>
      <w:tr w:rsidR="000954B7" w:rsidRPr="008B1A62" w14:paraId="399C8509" w14:textId="77777777" w:rsidTr="0029691D">
        <w:trPr>
          <w:trHeight w:val="629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69F4" w14:textId="16915B1B" w:rsidR="000954B7" w:rsidRPr="008B1A62" w:rsidRDefault="000954B7" w:rsidP="00604E1A">
            <w:pPr>
              <w:spacing w:after="0" w:line="245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Conferimento funzione complessiva e attivazione delle attività 1</w:t>
            </w:r>
            <w:r w:rsidR="1C2DB63B" w:rsidRPr="008B1A62">
              <w:rPr>
                <w:rFonts w:ascii="Barlow" w:hAnsi="Barlow"/>
              </w:rPr>
              <w:t>,2, 4, 5</w:t>
            </w:r>
            <w:r w:rsidRPr="008B1A62">
              <w:rPr>
                <w:rFonts w:ascii="Barlow" w:hAnsi="Barlow"/>
              </w:rPr>
              <w:t xml:space="preserve"> sopra richiamate 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B012" w14:textId="77777777" w:rsidR="000954B7" w:rsidRPr="008B1A62" w:rsidRDefault="000954B7" w:rsidP="00604E1A">
            <w:pPr>
              <w:spacing w:after="0" w:line="245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 xml:space="preserve">Convenzione 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9B40" w14:textId="77777777" w:rsidR="000954B7" w:rsidRPr="008B1A62" w:rsidRDefault="000954B7" w:rsidP="00604E1A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5B1A1" w14:textId="77777777" w:rsidR="000954B7" w:rsidRPr="008B1A62" w:rsidRDefault="000954B7" w:rsidP="00604E1A">
            <w:pPr>
              <w:jc w:val="center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60%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1069353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5C3CFD" w14:textId="77777777" w:rsidR="000954B7" w:rsidRPr="008B1A62" w:rsidRDefault="000954B7" w:rsidP="00604E1A">
                <w:pPr>
                  <w:jc w:val="center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8B1A62">
                  <w:rPr>
                    <w:rFonts w:ascii="MS Gothic" w:eastAsia="MS Gothic" w:hAnsi="MS Gothic" w:cs="Times New Roman" w:hint="eastAsia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0954B7" w:rsidRPr="008B1A62" w14:paraId="6F11BBE8" w14:textId="77777777" w:rsidTr="0029691D">
        <w:trPr>
          <w:trHeight w:val="283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87CEA" w14:textId="77777777" w:rsidR="000954B7" w:rsidRPr="008B1A62" w:rsidRDefault="000954B7" w:rsidP="00604E1A">
            <w:pPr>
              <w:spacing w:after="0" w:line="245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Istituzione della struttura organizzativa in Unione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0443" w14:textId="77777777" w:rsidR="000954B7" w:rsidRPr="008B1A62" w:rsidRDefault="000954B7" w:rsidP="00604E1A">
            <w:pPr>
              <w:spacing w:after="0" w:line="245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 xml:space="preserve">Organigramma 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3D5A" w14:textId="77777777" w:rsidR="000954B7" w:rsidRPr="008B1A62" w:rsidRDefault="000954B7" w:rsidP="00604E1A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9CAE" w14:textId="77777777" w:rsidR="000954B7" w:rsidRPr="008B1A62" w:rsidRDefault="000954B7" w:rsidP="00604E1A">
            <w:pPr>
              <w:rPr>
                <w:rFonts w:ascii="Barlow" w:hAnsi="Barlow"/>
              </w:rPr>
            </w:pPr>
          </w:p>
        </w:tc>
        <w:tc>
          <w:tcPr>
            <w:tcW w:w="4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AA23" w14:textId="77777777" w:rsidR="000954B7" w:rsidRPr="008B1A62" w:rsidRDefault="000954B7" w:rsidP="00604E1A">
            <w:pPr>
              <w:jc w:val="center"/>
              <w:rPr>
                <w:rFonts w:ascii="Barlow" w:hAnsi="Barlow"/>
                <w:noProof/>
                <w:color w:val="2F5496" w:themeColor="accent1" w:themeShade="BF"/>
              </w:rPr>
            </w:pPr>
          </w:p>
        </w:tc>
      </w:tr>
      <w:tr w:rsidR="000954B7" w:rsidRPr="008B1A62" w14:paraId="1C67782F" w14:textId="77777777" w:rsidTr="0029691D">
        <w:trPr>
          <w:trHeight w:val="283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2A028" w14:textId="77777777" w:rsidR="000954B7" w:rsidRPr="008B1A62" w:rsidRDefault="000954B7" w:rsidP="00604E1A">
            <w:pPr>
              <w:spacing w:after="0" w:line="245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 xml:space="preserve">Nomina responsabile  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CF28" w14:textId="77777777" w:rsidR="000954B7" w:rsidRPr="008B1A62" w:rsidRDefault="000954B7" w:rsidP="00604E1A">
            <w:pPr>
              <w:spacing w:after="0" w:line="245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 xml:space="preserve">Atto nomina  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2D4F" w14:textId="77777777" w:rsidR="000954B7" w:rsidRPr="008B1A62" w:rsidRDefault="000954B7" w:rsidP="00604E1A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53299" w14:textId="77777777" w:rsidR="000954B7" w:rsidRPr="008B1A62" w:rsidRDefault="000954B7" w:rsidP="00604E1A">
            <w:pPr>
              <w:rPr>
                <w:rFonts w:ascii="Barlow" w:hAnsi="Barlow"/>
              </w:rPr>
            </w:pPr>
          </w:p>
        </w:tc>
        <w:tc>
          <w:tcPr>
            <w:tcW w:w="4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FE02" w14:textId="77777777" w:rsidR="000954B7" w:rsidRPr="008B1A62" w:rsidRDefault="000954B7" w:rsidP="00604E1A">
            <w:pPr>
              <w:jc w:val="center"/>
              <w:rPr>
                <w:rFonts w:ascii="Barlow" w:hAnsi="Barlow"/>
                <w:noProof/>
                <w:color w:val="2F5496" w:themeColor="accent1" w:themeShade="BF"/>
              </w:rPr>
            </w:pPr>
          </w:p>
        </w:tc>
      </w:tr>
      <w:tr w:rsidR="000954B7" w:rsidRPr="008B1A62" w14:paraId="730D8A16" w14:textId="77777777" w:rsidTr="0029691D">
        <w:trPr>
          <w:trHeight w:val="283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544D" w14:textId="77777777" w:rsidR="000954B7" w:rsidRPr="008B1A62" w:rsidRDefault="000954B7" w:rsidP="00604E1A">
            <w:pPr>
              <w:spacing w:after="0" w:line="245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Conferimento del personale (con decorrenza entro l’anno se nuova funzione)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0F4C7" w14:textId="77777777" w:rsidR="000954B7" w:rsidRPr="008B1A62" w:rsidRDefault="000954B7" w:rsidP="00604E1A">
            <w:pPr>
              <w:spacing w:after="0" w:line="245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 xml:space="preserve">Atti organizzativi (personale </w:t>
            </w:r>
            <w:r w:rsidRPr="008B1A62">
              <w:rPr>
                <w:rFonts w:ascii="Barlow" w:hAnsi="Barlow"/>
              </w:rPr>
              <w:lastRenderedPageBreak/>
              <w:t>trasferito/Comandato)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B31DC" w14:textId="77777777" w:rsidR="000954B7" w:rsidRPr="008B1A62" w:rsidRDefault="000954B7" w:rsidP="00604E1A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4AE45" w14:textId="77777777" w:rsidR="000954B7" w:rsidRPr="008B1A62" w:rsidRDefault="000954B7" w:rsidP="00604E1A">
            <w:pPr>
              <w:rPr>
                <w:rFonts w:ascii="Barlow" w:hAnsi="Barlow"/>
              </w:rPr>
            </w:pPr>
          </w:p>
        </w:tc>
        <w:tc>
          <w:tcPr>
            <w:tcW w:w="4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75E5" w14:textId="77777777" w:rsidR="000954B7" w:rsidRPr="008B1A62" w:rsidRDefault="000954B7" w:rsidP="00604E1A">
            <w:pPr>
              <w:jc w:val="center"/>
              <w:rPr>
                <w:rFonts w:ascii="Barlow" w:hAnsi="Barlow"/>
                <w:noProof/>
                <w:color w:val="2F5496" w:themeColor="accent1" w:themeShade="BF"/>
              </w:rPr>
            </w:pPr>
          </w:p>
        </w:tc>
      </w:tr>
      <w:tr w:rsidR="000954B7" w:rsidRPr="008B1A62" w14:paraId="7F00266C" w14:textId="77777777" w:rsidTr="0029691D">
        <w:trPr>
          <w:trHeight w:val="626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5B29" w14:textId="77777777" w:rsidR="000954B7" w:rsidRPr="008B1A62" w:rsidRDefault="000954B7" w:rsidP="00604E1A">
            <w:pPr>
              <w:spacing w:after="0" w:line="245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Conferimento stanziamenti entrate/spese dai bilanci dei Comuni all’Unione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26C3" w14:textId="77777777" w:rsidR="000954B7" w:rsidRPr="008B1A62" w:rsidRDefault="000954B7" w:rsidP="00604E1A">
            <w:pPr>
              <w:spacing w:after="0" w:line="245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Entità degli stanziamenti conferiti nel Bilancio preventivo Unione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CBC7" w14:textId="77777777" w:rsidR="000954B7" w:rsidRPr="008B1A62" w:rsidRDefault="000954B7" w:rsidP="00604E1A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48F8" w14:textId="77777777" w:rsidR="000954B7" w:rsidRPr="008B1A62" w:rsidRDefault="000954B7" w:rsidP="00604E1A">
            <w:pPr>
              <w:rPr>
                <w:rFonts w:ascii="Barlow" w:hAnsi="Barlow"/>
              </w:rPr>
            </w:pPr>
          </w:p>
        </w:tc>
        <w:tc>
          <w:tcPr>
            <w:tcW w:w="4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03FF" w14:textId="77777777" w:rsidR="000954B7" w:rsidRPr="008B1A62" w:rsidRDefault="000954B7" w:rsidP="00604E1A">
            <w:pPr>
              <w:jc w:val="center"/>
              <w:rPr>
                <w:rFonts w:ascii="Barlow" w:hAnsi="Barlow"/>
                <w:noProof/>
                <w:color w:val="2F5496" w:themeColor="accent1" w:themeShade="BF"/>
              </w:rPr>
            </w:pPr>
          </w:p>
        </w:tc>
      </w:tr>
      <w:tr w:rsidR="000954B7" w:rsidRPr="008B1A62" w14:paraId="0EB654C8" w14:textId="77777777" w:rsidTr="0029691D">
        <w:trPr>
          <w:trHeight w:val="690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06CE" w14:textId="77777777" w:rsidR="000954B7" w:rsidRPr="008B1A62" w:rsidRDefault="000954B7" w:rsidP="00604E1A">
            <w:pPr>
              <w:widowControl w:val="0"/>
              <w:tabs>
                <w:tab w:val="left" w:pos="-1276"/>
              </w:tabs>
              <w:spacing w:after="0" w:line="245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Istituzione della CQAP unica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D331" w14:textId="77777777" w:rsidR="000954B7" w:rsidRPr="008B1A62" w:rsidRDefault="000954B7" w:rsidP="00604E1A">
            <w:pPr>
              <w:spacing w:after="0" w:line="245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 xml:space="preserve">Atto nomina               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EE26" w14:textId="77777777" w:rsidR="000954B7" w:rsidRPr="008B1A62" w:rsidRDefault="000954B7" w:rsidP="00604E1A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D849" w14:textId="77777777" w:rsidR="000954B7" w:rsidRPr="008B1A62" w:rsidRDefault="000954B7" w:rsidP="00604E1A">
            <w:pPr>
              <w:rPr>
                <w:rFonts w:ascii="Barlow" w:hAnsi="Barlow"/>
              </w:rPr>
            </w:pPr>
          </w:p>
        </w:tc>
        <w:tc>
          <w:tcPr>
            <w:tcW w:w="4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3000" w14:textId="77777777" w:rsidR="000954B7" w:rsidRPr="008B1A62" w:rsidRDefault="000954B7" w:rsidP="00604E1A">
            <w:pPr>
              <w:jc w:val="center"/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0954B7" w:rsidRPr="008B1A62" w14:paraId="6BCC5D63" w14:textId="77777777" w:rsidTr="0035083B">
        <w:trPr>
          <w:trHeight w:val="397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3BE6" w14:textId="77777777" w:rsidR="000954B7" w:rsidRPr="008B1A62" w:rsidRDefault="000954B7" w:rsidP="00604E1A">
            <w:pPr>
              <w:spacing w:before="120" w:after="120" w:line="245" w:lineRule="auto"/>
              <w:rPr>
                <w:rFonts w:ascii="Barlow" w:hAnsi="Barlow"/>
                <w:b/>
                <w:bCs/>
                <w:color w:val="2F5496" w:themeColor="accent1" w:themeShade="BF"/>
              </w:rPr>
            </w:pPr>
            <w:r w:rsidRPr="008B1A62">
              <w:rPr>
                <w:rFonts w:ascii="Barlow" w:hAnsi="Barlow"/>
                <w:b/>
                <w:bCs/>
                <w:color w:val="2F5496" w:themeColor="accent1" w:themeShade="BF"/>
              </w:rPr>
              <w:t>Azioni di consolidamento della funzione (livello avanzato)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A5B9" w14:textId="77777777" w:rsidR="000954B7" w:rsidRPr="008B1A62" w:rsidRDefault="000954B7" w:rsidP="00604E1A">
            <w:pPr>
              <w:spacing w:before="120" w:after="120" w:line="245" w:lineRule="auto"/>
              <w:rPr>
                <w:rFonts w:ascii="Barlow" w:hAnsi="Barlow"/>
                <w:color w:val="2F5496" w:themeColor="accent1" w:themeShade="BF"/>
              </w:rPr>
            </w:pPr>
            <w:r w:rsidRPr="008B1A62">
              <w:rPr>
                <w:rFonts w:ascii="Barlow" w:hAnsi="Barlow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5B276267" w14:textId="77777777" w:rsidR="000954B7" w:rsidRPr="008B1A62" w:rsidRDefault="000954B7" w:rsidP="00604E1A">
            <w:pPr>
              <w:spacing w:before="120" w:after="120" w:line="245" w:lineRule="auto"/>
              <w:rPr>
                <w:rFonts w:ascii="Barlow" w:hAnsi="Barlow"/>
                <w:color w:val="2F5496" w:themeColor="accent1" w:themeShade="BF"/>
              </w:rPr>
            </w:pPr>
            <w:r w:rsidRPr="008B1A62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Indicazione estremi o link dell’atto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6EC1A" w14:textId="41A0CB7C" w:rsidR="000954B7" w:rsidRPr="008B1A62" w:rsidRDefault="008B1A62" w:rsidP="00604E1A">
            <w:pPr>
              <w:spacing w:after="0" w:line="245" w:lineRule="auto"/>
              <w:rPr>
                <w:rFonts w:ascii="Barlow" w:hAnsi="Barlow"/>
                <w:color w:val="2F5496" w:themeColor="accent1" w:themeShade="BF"/>
              </w:rPr>
            </w:pPr>
            <w:r w:rsidRPr="008B1A62">
              <w:rPr>
                <w:rFonts w:ascii="Barlow" w:hAnsi="Barlow"/>
                <w:color w:val="2F5496" w:themeColor="accent1" w:themeShade="BF"/>
              </w:rPr>
              <w:t>Ogni azione aggiunta equivale a % di punteggio più alta riconosciuta</w:t>
            </w:r>
          </w:p>
        </w:tc>
      </w:tr>
      <w:tr w:rsidR="000954B7" w:rsidRPr="008B1A62" w14:paraId="72D23063" w14:textId="77777777" w:rsidTr="0029691D">
        <w:trPr>
          <w:trHeight w:val="841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784CC" w14:textId="69DA33F1" w:rsidR="00ED2787" w:rsidRPr="008B1A62" w:rsidRDefault="000954B7" w:rsidP="00604E1A">
            <w:pPr>
              <w:widowControl w:val="0"/>
              <w:tabs>
                <w:tab w:val="left" w:pos="-5784"/>
                <w:tab w:val="left" w:pos="-3864"/>
              </w:tabs>
              <w:spacing w:after="0" w:line="240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 xml:space="preserve">Conferimento funzione </w:t>
            </w:r>
            <w:r w:rsidRPr="008B1A62">
              <w:rPr>
                <w:rFonts w:ascii="Barlow" w:hAnsi="Barlow"/>
                <w:bCs/>
              </w:rPr>
              <w:t>Sismica</w:t>
            </w:r>
            <w:r w:rsidRPr="008B1A62">
              <w:rPr>
                <w:rFonts w:ascii="Barlow" w:hAnsi="Barlow"/>
              </w:rPr>
              <w:t xml:space="preserve"> (autorizzazioni e controlli in materia)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33E3" w14:textId="77777777" w:rsidR="000954B7" w:rsidRPr="008B1A62" w:rsidRDefault="000954B7" w:rsidP="00604E1A">
            <w:pPr>
              <w:spacing w:after="0" w:line="240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 xml:space="preserve">Convenzione Atto/i riorganizzativi </w:t>
            </w:r>
          </w:p>
          <w:p w14:paraId="16B98AFF" w14:textId="77777777" w:rsidR="000954B7" w:rsidRPr="008B1A62" w:rsidRDefault="000954B7" w:rsidP="00604E1A">
            <w:pPr>
              <w:spacing w:after="0" w:line="240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- procedimenti gestiti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121B" w14:textId="77777777" w:rsidR="000954B7" w:rsidRPr="008B1A62" w:rsidRDefault="000954B7" w:rsidP="00604E1A">
            <w:pPr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7BDC" w14:textId="237B594C" w:rsidR="000954B7" w:rsidRPr="008B1A62" w:rsidRDefault="00515417" w:rsidP="00604E1A">
            <w:pPr>
              <w:spacing w:after="0" w:line="240" w:lineRule="auto"/>
              <w:jc w:val="center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20%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612021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B98FE6" w14:textId="47F3F65C" w:rsidR="000954B7" w:rsidRPr="008B1A62" w:rsidRDefault="00CE055C" w:rsidP="00604E1A">
                <w:pPr>
                  <w:spacing w:after="0" w:line="245" w:lineRule="auto"/>
                  <w:jc w:val="center"/>
                  <w:rPr>
                    <w:rFonts w:ascii="Barlow" w:hAnsi="Barlow"/>
                    <w:color w:val="2F5496" w:themeColor="accent1" w:themeShade="BF"/>
                  </w:rPr>
                </w:pPr>
                <w:r w:rsidRPr="008B1A62">
                  <w:rPr>
                    <w:rFonts w:ascii="MS Gothic" w:eastAsia="MS Gothic" w:hAnsi="MS Gothic" w:cs="Times New Roman" w:hint="eastAsia"/>
                    <w:color w:val="2F5496" w:themeColor="accent1" w:themeShade="BF"/>
                    <w:shd w:val="clear" w:color="auto" w:fill="E6E6E6"/>
                  </w:rPr>
                  <w:t>☐</w:t>
                </w:r>
              </w:p>
            </w:sdtContent>
          </w:sdt>
        </w:tc>
      </w:tr>
      <w:tr w:rsidR="000954B7" w:rsidRPr="008B1A62" w14:paraId="6663343C" w14:textId="77777777" w:rsidTr="0029691D">
        <w:trPr>
          <w:trHeight w:val="794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2AE6" w14:textId="28A90DFD" w:rsidR="000954B7" w:rsidRPr="008B1A62" w:rsidRDefault="000954B7" w:rsidP="00604E1A">
            <w:pPr>
              <w:widowControl w:val="0"/>
              <w:tabs>
                <w:tab w:val="left" w:pos="-5784"/>
                <w:tab w:val="left" w:pos="-3864"/>
              </w:tabs>
              <w:spacing w:after="0" w:line="240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Gestione unificata delle procedure Suap/sue tramite “Accesso unitario” R</w:t>
            </w:r>
            <w:r w:rsidR="001237AA" w:rsidRPr="008B1A62">
              <w:rPr>
                <w:rFonts w:ascii="Barlow" w:hAnsi="Barlow"/>
              </w:rPr>
              <w:t>ER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56072" w14:textId="77777777" w:rsidR="000954B7" w:rsidRPr="008B1A62" w:rsidRDefault="000954B7" w:rsidP="00604E1A">
            <w:pPr>
              <w:spacing w:after="0" w:line="240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 xml:space="preserve">Atti/documenti           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1B34F" w14:textId="77777777" w:rsidR="000954B7" w:rsidRPr="008B1A62" w:rsidRDefault="000954B7" w:rsidP="00604E1A">
            <w:pPr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89286" w14:textId="77777777" w:rsidR="000954B7" w:rsidRPr="008B1A62" w:rsidRDefault="000954B7" w:rsidP="00604E1A">
            <w:pPr>
              <w:spacing w:after="0" w:line="240" w:lineRule="auto"/>
              <w:jc w:val="center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10%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1997641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89FAB1" w14:textId="01A67F48" w:rsidR="000954B7" w:rsidRPr="008B1A62" w:rsidRDefault="00CE055C" w:rsidP="00604E1A">
                <w:pPr>
                  <w:spacing w:after="0" w:line="245" w:lineRule="auto"/>
                  <w:jc w:val="center"/>
                  <w:rPr>
                    <w:rFonts w:ascii="Barlow" w:hAnsi="Barlow"/>
                    <w:noProof/>
                    <w:color w:val="2F5496" w:themeColor="accent1" w:themeShade="BF"/>
                  </w:rPr>
                </w:pPr>
                <w:r w:rsidRPr="008B1A62">
                  <w:rPr>
                    <w:rFonts w:ascii="MS Gothic" w:eastAsia="MS Gothic" w:hAnsi="MS Gothic" w:cs="Times New Roman" w:hint="eastAsia"/>
                    <w:color w:val="2F5496" w:themeColor="accent1" w:themeShade="BF"/>
                    <w:shd w:val="clear" w:color="auto" w:fill="E6E6E6"/>
                  </w:rPr>
                  <w:t>☐</w:t>
                </w:r>
              </w:p>
            </w:sdtContent>
          </w:sdt>
        </w:tc>
      </w:tr>
      <w:tr w:rsidR="00CE055C" w:rsidRPr="008B1A62" w14:paraId="0C50E158" w14:textId="77777777" w:rsidTr="0029691D">
        <w:trPr>
          <w:trHeight w:val="794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FC39" w14:textId="1DD87A63" w:rsidR="00CE055C" w:rsidRPr="008B1A62" w:rsidRDefault="00CE055C" w:rsidP="00604E1A">
            <w:pPr>
              <w:widowControl w:val="0"/>
              <w:tabs>
                <w:tab w:val="left" w:pos="-5784"/>
                <w:tab w:val="left" w:pos="-3864"/>
              </w:tabs>
              <w:spacing w:after="0" w:line="240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Attività di accesso agli atti unificata in Unione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D1AE" w14:textId="1C15AFDC" w:rsidR="00CE055C" w:rsidRPr="008B1A62" w:rsidRDefault="009D1E4B" w:rsidP="69538927">
            <w:pPr>
              <w:spacing w:after="0" w:line="240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 xml:space="preserve">Atti organizzativi 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0B1D0" w14:textId="77777777" w:rsidR="00CE055C" w:rsidRPr="008B1A62" w:rsidRDefault="00CE055C" w:rsidP="00604E1A">
            <w:pPr>
              <w:rPr>
                <w:rFonts w:ascii="Barlow" w:hAnsi="Barlo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5BD8" w14:textId="00F6F773" w:rsidR="00CE055C" w:rsidRPr="008B1A62" w:rsidRDefault="00CE055C" w:rsidP="00604E1A">
            <w:pPr>
              <w:spacing w:after="0" w:line="240" w:lineRule="auto"/>
              <w:jc w:val="center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5%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b/>
                <w:bCs/>
                <w:color w:val="2F5496" w:themeColor="accent1" w:themeShade="BF"/>
                <w:shd w:val="clear" w:color="auto" w:fill="E6E6E6"/>
              </w:rPr>
              <w:id w:val="303900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EA51CC" w14:textId="72A91FBF" w:rsidR="00CE055C" w:rsidRPr="008B1A62" w:rsidRDefault="00CE055C" w:rsidP="00CE055C">
                <w:pPr>
                  <w:spacing w:after="0" w:line="245" w:lineRule="auto"/>
                  <w:jc w:val="center"/>
                  <w:rPr>
                    <w:rFonts w:ascii="Barlow" w:hAnsi="Barlow" w:cs="Times New Roman"/>
                    <w:b/>
                    <w:bCs/>
                    <w:color w:val="2F5496" w:themeColor="accent1" w:themeShade="BF"/>
                    <w:shd w:val="clear" w:color="auto" w:fill="E6E6E6"/>
                  </w:rPr>
                </w:pPr>
                <w:r w:rsidRPr="008B1A62">
                  <w:rPr>
                    <w:rFonts w:ascii="MS Gothic" w:eastAsia="MS Gothic" w:hAnsi="MS Gothic" w:cs="Times New Roman" w:hint="eastAsia"/>
                    <w:b/>
                    <w:bCs/>
                    <w:color w:val="2F5496" w:themeColor="accent1" w:themeShade="BF"/>
                    <w:shd w:val="clear" w:color="auto" w:fill="E6E6E6"/>
                  </w:rPr>
                  <w:t>☐</w:t>
                </w:r>
              </w:p>
            </w:sdtContent>
          </w:sdt>
        </w:tc>
      </w:tr>
      <w:tr w:rsidR="00CE055C" w:rsidRPr="008B1A62" w14:paraId="688B0E89" w14:textId="77777777" w:rsidTr="0029691D">
        <w:trPr>
          <w:trHeight w:val="794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4C70" w14:textId="7E2B9F5B" w:rsidR="00CE055C" w:rsidRPr="008B1A62" w:rsidRDefault="00B23394" w:rsidP="003F2456">
            <w:pPr>
              <w:widowControl w:val="0"/>
              <w:tabs>
                <w:tab w:val="left" w:pos="-5784"/>
                <w:tab w:val="left" w:pos="-3864"/>
              </w:tabs>
              <w:spacing w:after="0" w:line="240" w:lineRule="auto"/>
              <w:ind w:left="31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 xml:space="preserve">Archiviazione (digitale) in Unione 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680A" w14:textId="3AC2055C" w:rsidR="00CE055C" w:rsidRPr="008B1A62" w:rsidRDefault="00BA0DAF" w:rsidP="69538927">
            <w:pPr>
              <w:spacing w:after="0" w:line="240" w:lineRule="auto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 xml:space="preserve">Atti organizzativi 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0B24" w14:textId="77777777" w:rsidR="00CE055C" w:rsidRPr="008B1A62" w:rsidRDefault="00CE055C" w:rsidP="00604E1A">
            <w:pPr>
              <w:rPr>
                <w:rFonts w:ascii="Barlow" w:hAnsi="Barlo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1572C" w14:textId="65FA1ED0" w:rsidR="00CE055C" w:rsidRPr="008B1A62" w:rsidRDefault="00CE055C" w:rsidP="00604E1A">
            <w:pPr>
              <w:spacing w:after="0" w:line="240" w:lineRule="auto"/>
              <w:jc w:val="center"/>
              <w:rPr>
                <w:rFonts w:ascii="Barlow" w:hAnsi="Barlow"/>
              </w:rPr>
            </w:pPr>
            <w:r w:rsidRPr="008B1A62">
              <w:rPr>
                <w:rFonts w:ascii="Barlow" w:hAnsi="Barlow"/>
              </w:rPr>
              <w:t>5%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b/>
                <w:bCs/>
                <w:color w:val="2F5496" w:themeColor="accent1" w:themeShade="BF"/>
                <w:shd w:val="clear" w:color="auto" w:fill="E6E6E6"/>
              </w:rPr>
              <w:id w:val="-2142184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79E676" w14:textId="4A82CD22" w:rsidR="00CE055C" w:rsidRPr="008B1A62" w:rsidRDefault="00CE055C" w:rsidP="00CE055C">
                <w:pPr>
                  <w:spacing w:after="0" w:line="245" w:lineRule="auto"/>
                  <w:jc w:val="center"/>
                  <w:rPr>
                    <w:rFonts w:ascii="Barlow" w:hAnsi="Barlow" w:cs="Times New Roman"/>
                    <w:b/>
                    <w:bCs/>
                    <w:color w:val="2F5496" w:themeColor="accent1" w:themeShade="BF"/>
                    <w:shd w:val="clear" w:color="auto" w:fill="E6E6E6"/>
                  </w:rPr>
                </w:pPr>
                <w:r w:rsidRPr="008B1A62">
                  <w:rPr>
                    <w:rFonts w:ascii="MS Gothic" w:eastAsia="MS Gothic" w:hAnsi="MS Gothic" w:cs="Times New Roman" w:hint="eastAsia"/>
                    <w:b/>
                    <w:bCs/>
                    <w:color w:val="2F5496" w:themeColor="accent1" w:themeShade="BF"/>
                    <w:shd w:val="clear" w:color="auto" w:fill="E6E6E6"/>
                  </w:rPr>
                  <w:t>☐</w:t>
                </w:r>
              </w:p>
            </w:sdtContent>
          </w:sdt>
        </w:tc>
      </w:tr>
      <w:tr w:rsidR="000954B7" w:rsidRPr="008B1A62" w14:paraId="23AB21B7" w14:textId="77777777" w:rsidTr="0029691D">
        <w:trPr>
          <w:trHeight w:val="397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DD22" w14:textId="1C0A75E2" w:rsidR="00C51782" w:rsidRPr="008B1A62" w:rsidRDefault="00C51782" w:rsidP="003F2456">
            <w:pPr>
              <w:widowControl w:val="0"/>
              <w:tabs>
                <w:tab w:val="left" w:pos="-5784"/>
                <w:tab w:val="left" w:pos="-3864"/>
              </w:tabs>
              <w:spacing w:after="0" w:line="240" w:lineRule="auto"/>
              <w:rPr>
                <w:rFonts w:ascii="Barlow" w:hAnsi="Barlow"/>
              </w:rPr>
            </w:pPr>
          </w:p>
        </w:tc>
        <w:tc>
          <w:tcPr>
            <w:tcW w:w="68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766A" w14:textId="680B0EF1" w:rsidR="000954B7" w:rsidRPr="008B1A62" w:rsidRDefault="000954B7" w:rsidP="00604E1A">
            <w:pPr>
              <w:spacing w:after="0" w:line="240" w:lineRule="auto"/>
              <w:rPr>
                <w:rFonts w:ascii="Barlow" w:hAnsi="Barlow"/>
              </w:rPr>
            </w:pPr>
          </w:p>
          <w:p w14:paraId="224B1415" w14:textId="5A5C17C9" w:rsidR="0051582F" w:rsidRPr="008B1A62" w:rsidRDefault="0051582F" w:rsidP="00604E1A">
            <w:pPr>
              <w:spacing w:after="0" w:line="240" w:lineRule="auto"/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1BFB" w14:textId="544EEB6E" w:rsidR="000954B7" w:rsidRPr="008B1A62" w:rsidRDefault="0035083B" w:rsidP="00604E1A">
            <w:pPr>
              <w:spacing w:after="0" w:line="240" w:lineRule="auto"/>
              <w:jc w:val="center"/>
              <w:rPr>
                <w:rFonts w:ascii="Barlow" w:hAnsi="Barlow"/>
              </w:rPr>
            </w:pPr>
            <w:r w:rsidRPr="0035083B">
              <w:rPr>
                <w:rFonts w:ascii="Barlow" w:hAnsi="Barlow"/>
              </w:rPr>
              <w:t>Totale 100% punteggio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486C" w14:textId="77777777" w:rsidR="000954B7" w:rsidRPr="008B1A62" w:rsidRDefault="000954B7" w:rsidP="00604E1A">
            <w:pPr>
              <w:jc w:val="center"/>
              <w:rPr>
                <w:rFonts w:ascii="Barlow" w:hAnsi="Barlow"/>
                <w:noProof/>
              </w:rPr>
            </w:pPr>
          </w:p>
        </w:tc>
      </w:tr>
    </w:tbl>
    <w:p w14:paraId="5DEEDFC2" w14:textId="2E9D0753" w:rsidR="00040963" w:rsidRPr="008B1A62" w:rsidRDefault="00040963" w:rsidP="00502C1C"/>
    <w:sectPr w:rsidR="00040963" w:rsidRPr="008B1A62" w:rsidSect="005E14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68D83" w14:textId="77777777" w:rsidR="00E942DB" w:rsidRDefault="00E942DB" w:rsidP="00040963">
      <w:pPr>
        <w:spacing w:after="0" w:line="240" w:lineRule="auto"/>
      </w:pPr>
      <w:r>
        <w:separator/>
      </w:r>
    </w:p>
  </w:endnote>
  <w:endnote w:type="continuationSeparator" w:id="0">
    <w:p w14:paraId="12503A60" w14:textId="77777777" w:rsidR="00E942DB" w:rsidRDefault="00E942DB" w:rsidP="00040963">
      <w:pPr>
        <w:spacing w:after="0" w:line="240" w:lineRule="auto"/>
      </w:pPr>
      <w:r>
        <w:continuationSeparator/>
      </w:r>
    </w:p>
  </w:endnote>
  <w:endnote w:type="continuationNotice" w:id="1">
    <w:p w14:paraId="5A07E1BF" w14:textId="77777777" w:rsidR="00E942DB" w:rsidRDefault="00E94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SemiBold">
    <w:charset w:val="4D"/>
    <w:family w:val="auto"/>
    <w:pitch w:val="variable"/>
    <w:sig w:usb0="20000007" w:usb1="00000000" w:usb2="00000000" w:usb3="00000000" w:csb0="00000193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9EEC0" w14:textId="77777777" w:rsidR="00E942DB" w:rsidRDefault="00E942DB" w:rsidP="00040963">
      <w:pPr>
        <w:spacing w:after="0" w:line="240" w:lineRule="auto"/>
      </w:pPr>
      <w:r>
        <w:separator/>
      </w:r>
    </w:p>
  </w:footnote>
  <w:footnote w:type="continuationSeparator" w:id="0">
    <w:p w14:paraId="6FF20D43" w14:textId="77777777" w:rsidR="00E942DB" w:rsidRDefault="00E942DB" w:rsidP="00040963">
      <w:pPr>
        <w:spacing w:after="0" w:line="240" w:lineRule="auto"/>
      </w:pPr>
      <w:r>
        <w:continuationSeparator/>
      </w:r>
    </w:p>
  </w:footnote>
  <w:footnote w:type="continuationNotice" w:id="1">
    <w:p w14:paraId="25FE2725" w14:textId="77777777" w:rsidR="00E942DB" w:rsidRDefault="00E942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F0AF0"/>
    <w:multiLevelType w:val="multilevel"/>
    <w:tmpl w:val="EC8C3C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4E670D"/>
    <w:multiLevelType w:val="hybridMultilevel"/>
    <w:tmpl w:val="71D4765A"/>
    <w:lvl w:ilvl="0" w:tplc="337C8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97E10"/>
    <w:multiLevelType w:val="hybridMultilevel"/>
    <w:tmpl w:val="ABB275EC"/>
    <w:lvl w:ilvl="0" w:tplc="66CCFE76">
      <w:numFmt w:val="bullet"/>
      <w:lvlText w:val="-"/>
      <w:lvlJc w:val="left"/>
      <w:pPr>
        <w:ind w:left="502" w:hanging="360"/>
      </w:pPr>
      <w:rPr>
        <w:rFonts w:ascii="Tw Cen MT" w:eastAsia="Calibri" w:hAnsi="Tw Cen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D51D2"/>
    <w:multiLevelType w:val="hybridMultilevel"/>
    <w:tmpl w:val="534AB0F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2625922">
    <w:abstractNumId w:val="0"/>
  </w:num>
  <w:num w:numId="2" w16cid:durableId="938877142">
    <w:abstractNumId w:val="2"/>
  </w:num>
  <w:num w:numId="3" w16cid:durableId="364450093">
    <w:abstractNumId w:val="1"/>
  </w:num>
  <w:num w:numId="4" w16cid:durableId="331569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43"/>
    <w:rsid w:val="00040963"/>
    <w:rsid w:val="000954B7"/>
    <w:rsid w:val="000C1EFA"/>
    <w:rsid w:val="001237AA"/>
    <w:rsid w:val="0013249E"/>
    <w:rsid w:val="001636B3"/>
    <w:rsid w:val="001F136F"/>
    <w:rsid w:val="00202E43"/>
    <w:rsid w:val="00273D1A"/>
    <w:rsid w:val="0029691D"/>
    <w:rsid w:val="00321C43"/>
    <w:rsid w:val="003441A9"/>
    <w:rsid w:val="0035083B"/>
    <w:rsid w:val="003910B3"/>
    <w:rsid w:val="003F2456"/>
    <w:rsid w:val="004F1BE7"/>
    <w:rsid w:val="00502C1C"/>
    <w:rsid w:val="00515417"/>
    <w:rsid w:val="0051582F"/>
    <w:rsid w:val="00526FE8"/>
    <w:rsid w:val="00574B7E"/>
    <w:rsid w:val="005D2F47"/>
    <w:rsid w:val="005E149F"/>
    <w:rsid w:val="005F2AE7"/>
    <w:rsid w:val="00604E1A"/>
    <w:rsid w:val="00665E50"/>
    <w:rsid w:val="006D442D"/>
    <w:rsid w:val="00745DB4"/>
    <w:rsid w:val="0079592E"/>
    <w:rsid w:val="008164BE"/>
    <w:rsid w:val="008271F9"/>
    <w:rsid w:val="008B1A62"/>
    <w:rsid w:val="008D6683"/>
    <w:rsid w:val="00913497"/>
    <w:rsid w:val="009168B6"/>
    <w:rsid w:val="00947E02"/>
    <w:rsid w:val="00974569"/>
    <w:rsid w:val="009D1E4B"/>
    <w:rsid w:val="009E3719"/>
    <w:rsid w:val="00A91DD6"/>
    <w:rsid w:val="00B23394"/>
    <w:rsid w:val="00B307D6"/>
    <w:rsid w:val="00B75CDE"/>
    <w:rsid w:val="00BA0DAF"/>
    <w:rsid w:val="00BF01F1"/>
    <w:rsid w:val="00C00741"/>
    <w:rsid w:val="00C51782"/>
    <w:rsid w:val="00C93A27"/>
    <w:rsid w:val="00CC7916"/>
    <w:rsid w:val="00CD7AB1"/>
    <w:rsid w:val="00CE055C"/>
    <w:rsid w:val="00CF24C0"/>
    <w:rsid w:val="00D90C2E"/>
    <w:rsid w:val="00DB1DC3"/>
    <w:rsid w:val="00DC4625"/>
    <w:rsid w:val="00DD6C6E"/>
    <w:rsid w:val="00E876AD"/>
    <w:rsid w:val="00E942DB"/>
    <w:rsid w:val="00EB240E"/>
    <w:rsid w:val="00EB2B03"/>
    <w:rsid w:val="00EC4C4C"/>
    <w:rsid w:val="00EC7016"/>
    <w:rsid w:val="00ED2787"/>
    <w:rsid w:val="00F32730"/>
    <w:rsid w:val="00F430D7"/>
    <w:rsid w:val="00FE0234"/>
    <w:rsid w:val="1C2DB63B"/>
    <w:rsid w:val="5631F9AC"/>
    <w:rsid w:val="69538927"/>
    <w:rsid w:val="6DD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901D"/>
  <w15:chartTrackingRefBased/>
  <w15:docId w15:val="{1F07BE7E-C736-4618-9EC6-50AF7E4D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4B7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4B7"/>
    <w:pPr>
      <w:ind w:left="720"/>
      <w:contextualSpacing/>
    </w:pPr>
    <w:rPr>
      <w:rFonts w:ascii="Barlow SemiBold" w:hAnsi="Barlow SemiBold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0954B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C1E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0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963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40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963"/>
    <w:rPr>
      <w:kern w:val="0"/>
      <w14:ligatures w14:val="none"/>
    </w:rPr>
  </w:style>
  <w:style w:type="paragraph" w:styleId="Revisione">
    <w:name w:val="Revision"/>
    <w:hidden/>
    <w:uiPriority w:val="99"/>
    <w:semiHidden/>
    <w:rsid w:val="00BF01F1"/>
    <w:pPr>
      <w:spacing w:after="0" w:line="240" w:lineRule="auto"/>
    </w:pPr>
    <w:rPr>
      <w:kern w:val="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CF24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F24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F24C0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24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24C0"/>
    <w:rPr>
      <w:b/>
      <w:bCs/>
      <w:kern w:val="0"/>
      <w:sz w:val="20"/>
      <w:szCs w:val="2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462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4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utonomie.regione.emilia-romagna.it/unioni-di-comuni/programma-di-riordino-territoriale/prt-2024-20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4" ma:contentTypeDescription="Creare un nuovo documento." ma:contentTypeScope="" ma:versionID="bd7492e0d8d31c63a01207eddd1e40d0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da6d3cfd141a4a49046fce1d7640ed76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9704a-108b-4170-a031-f324bd9667da" xsi:nil="true"/>
    <lcf76f155ced4ddcb4097134ff3c332f xmlns="815a182e-5811-482c-bfd9-ac006fc98d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708DAD-BDD7-44ED-A25D-425952E26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66654-5895-466A-BBF2-8299C4D11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E6E16-4684-4EAC-91E8-0B29CF3289AC}">
  <ds:schemaRefs>
    <ds:schemaRef ds:uri="http://schemas.microsoft.com/office/2006/metadata/properties"/>
    <ds:schemaRef ds:uri="http://schemas.microsoft.com/office/infopath/2007/PartnerControls"/>
    <ds:schemaRef ds:uri="0019704a-108b-4170-a031-f324bd9667da"/>
    <ds:schemaRef ds:uri="815a182e-5811-482c-bfd9-ac006fc98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2461</Characters>
  <Application>Microsoft Office Word</Application>
  <DocSecurity>0</DocSecurity>
  <Lines>20</Lines>
  <Paragraphs>5</Paragraphs>
  <ScaleCrop>false</ScaleCrop>
  <Company>Regione Emilia-Romagna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Irene</dc:creator>
  <cp:keywords/>
  <dc:description/>
  <cp:lastModifiedBy>De Giorgi Irene</cp:lastModifiedBy>
  <cp:revision>15</cp:revision>
  <dcterms:created xsi:type="dcterms:W3CDTF">2024-04-17T19:26:00Z</dcterms:created>
  <dcterms:modified xsi:type="dcterms:W3CDTF">2024-06-14T09:45:00Z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0x0101003830781EEE82C24E886CD249FD9F4EDA</vt:lpwstr>
  </property>
  <property fmtid="{D5CDD505-2E9C-101B-9397-08002B2CF9AE}" pid="3" name="MediaServiceImageTags">
    <vt:lpwstr/>
  </property>
</Properties>
</file>